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F4" w:rsidRPr="006552F4" w:rsidRDefault="006552F4" w:rsidP="006552F4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552F4">
        <w:rPr>
          <w:b/>
          <w:sz w:val="28"/>
          <w:szCs w:val="28"/>
        </w:rPr>
        <w:t>Требования к оформлению материалов для публикации</w:t>
      </w:r>
    </w:p>
    <w:p w:rsidR="006552F4" w:rsidRPr="006552F4" w:rsidRDefault="006552F4" w:rsidP="00797F3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552F4" w:rsidRPr="006552F4" w:rsidRDefault="006552F4" w:rsidP="00797F3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552F4">
        <w:rPr>
          <w:b/>
          <w:sz w:val="28"/>
          <w:szCs w:val="28"/>
        </w:rPr>
        <w:t>Структура материалов</w:t>
      </w:r>
    </w:p>
    <w:p w:rsidR="006552F4" w:rsidRDefault="006552F4" w:rsidP="00797F34">
      <w:pPr>
        <w:spacing w:line="276" w:lineRule="auto"/>
        <w:ind w:firstLine="567"/>
        <w:jc w:val="both"/>
        <w:rPr>
          <w:sz w:val="28"/>
          <w:szCs w:val="28"/>
        </w:rPr>
      </w:pPr>
      <w:r w:rsidRPr="006552F4">
        <w:rPr>
          <w:sz w:val="28"/>
          <w:szCs w:val="28"/>
        </w:rPr>
        <w:t>Публикация</w:t>
      </w:r>
      <w:r w:rsidR="007125D8">
        <w:rPr>
          <w:sz w:val="28"/>
          <w:szCs w:val="28"/>
        </w:rPr>
        <w:t xml:space="preserve"> статьи начинается с инициалов и фамил</w:t>
      </w:r>
      <w:r w:rsidR="00882260">
        <w:rPr>
          <w:sz w:val="28"/>
          <w:szCs w:val="28"/>
        </w:rPr>
        <w:t xml:space="preserve">ии </w:t>
      </w:r>
      <w:r w:rsidR="007125D8">
        <w:rPr>
          <w:sz w:val="28"/>
          <w:szCs w:val="28"/>
        </w:rPr>
        <w:t>автора</w:t>
      </w:r>
      <w:r w:rsidR="009C652B">
        <w:rPr>
          <w:sz w:val="28"/>
          <w:szCs w:val="28"/>
        </w:rPr>
        <w:t>, через запятую на следующей строке</w:t>
      </w:r>
      <w:r w:rsidR="007125D8">
        <w:rPr>
          <w:sz w:val="28"/>
          <w:szCs w:val="28"/>
        </w:rPr>
        <w:t xml:space="preserve"> </w:t>
      </w:r>
      <w:r w:rsidR="009C652B">
        <w:rPr>
          <w:sz w:val="28"/>
          <w:szCs w:val="28"/>
        </w:rPr>
        <w:t xml:space="preserve">указывается </w:t>
      </w:r>
      <w:r w:rsidR="009C652B" w:rsidRPr="009C652B">
        <w:rPr>
          <w:sz w:val="28"/>
          <w:szCs w:val="28"/>
        </w:rPr>
        <w:t>полн</w:t>
      </w:r>
      <w:r w:rsidR="009C652B">
        <w:rPr>
          <w:sz w:val="28"/>
          <w:szCs w:val="28"/>
        </w:rPr>
        <w:t xml:space="preserve">ое название научного учреждения </w:t>
      </w:r>
      <w:r w:rsidR="007125D8">
        <w:rPr>
          <w:sz w:val="28"/>
          <w:szCs w:val="28"/>
        </w:rPr>
        <w:t xml:space="preserve">(полужирный, курсив, выравнивание по правому краю), затем следует заглавие статьи </w:t>
      </w:r>
      <w:r w:rsidR="00302ACD">
        <w:rPr>
          <w:sz w:val="28"/>
          <w:szCs w:val="28"/>
        </w:rPr>
        <w:t>(14</w:t>
      </w:r>
      <w:r w:rsidR="009C652B">
        <w:rPr>
          <w:sz w:val="28"/>
          <w:szCs w:val="28"/>
        </w:rPr>
        <w:t xml:space="preserve"> размер, жирный шрифт, выравнивание по центру)</w:t>
      </w:r>
      <w:r w:rsidRPr="006552F4">
        <w:rPr>
          <w:sz w:val="28"/>
          <w:szCs w:val="28"/>
        </w:rPr>
        <w:t xml:space="preserve">, </w:t>
      </w:r>
      <w:r w:rsidR="009C652B">
        <w:rPr>
          <w:sz w:val="28"/>
          <w:szCs w:val="28"/>
        </w:rPr>
        <w:t>далее</w:t>
      </w:r>
      <w:r w:rsidR="00302ACD">
        <w:rPr>
          <w:sz w:val="28"/>
          <w:szCs w:val="28"/>
        </w:rPr>
        <w:t xml:space="preserve"> </w:t>
      </w:r>
      <w:r w:rsidR="00184CF5">
        <w:rPr>
          <w:sz w:val="28"/>
          <w:szCs w:val="28"/>
        </w:rPr>
        <w:t xml:space="preserve"> </w:t>
      </w:r>
      <w:r w:rsidR="00806D04">
        <w:rPr>
          <w:sz w:val="28"/>
          <w:szCs w:val="28"/>
        </w:rPr>
        <w:t xml:space="preserve">следует </w:t>
      </w:r>
      <w:r w:rsidR="00302ACD">
        <w:rPr>
          <w:sz w:val="28"/>
          <w:szCs w:val="28"/>
        </w:rPr>
        <w:t xml:space="preserve"> </w:t>
      </w:r>
      <w:r w:rsidR="00806D04">
        <w:rPr>
          <w:sz w:val="28"/>
          <w:szCs w:val="28"/>
        </w:rPr>
        <w:t>текст</w:t>
      </w:r>
      <w:r w:rsidR="00184CF5">
        <w:rPr>
          <w:sz w:val="28"/>
          <w:szCs w:val="28"/>
        </w:rPr>
        <w:t xml:space="preserve"> </w:t>
      </w:r>
      <w:r w:rsidR="00302ACD">
        <w:rPr>
          <w:sz w:val="28"/>
          <w:szCs w:val="28"/>
        </w:rPr>
        <w:t xml:space="preserve"> </w:t>
      </w:r>
      <w:r w:rsidR="009C652B">
        <w:rPr>
          <w:sz w:val="28"/>
          <w:szCs w:val="28"/>
        </w:rPr>
        <w:t>статьи.</w:t>
      </w:r>
      <w:r w:rsidR="00184CF5">
        <w:rPr>
          <w:sz w:val="28"/>
          <w:szCs w:val="28"/>
        </w:rPr>
        <w:t xml:space="preserve"> </w:t>
      </w:r>
      <w:r w:rsidR="009C652B">
        <w:rPr>
          <w:sz w:val="28"/>
          <w:szCs w:val="28"/>
        </w:rPr>
        <w:t xml:space="preserve"> Сноски указываются после слова </w:t>
      </w:r>
      <w:r w:rsidR="009C652B" w:rsidRPr="00763951">
        <w:rPr>
          <w:b/>
          <w:i/>
          <w:sz w:val="28"/>
          <w:szCs w:val="28"/>
        </w:rPr>
        <w:t>Примечания</w:t>
      </w:r>
      <w:r w:rsidR="009C652B">
        <w:rPr>
          <w:sz w:val="28"/>
          <w:szCs w:val="28"/>
        </w:rPr>
        <w:t xml:space="preserve"> (с заглавной буквы, жирный шрифт, курсив, выравнивание по центру). </w:t>
      </w:r>
    </w:p>
    <w:p w:rsidR="009C652B" w:rsidRDefault="009C652B" w:rsidP="00797F34">
      <w:pPr>
        <w:spacing w:line="276" w:lineRule="auto"/>
        <w:ind w:firstLine="567"/>
        <w:jc w:val="both"/>
        <w:rPr>
          <w:sz w:val="28"/>
          <w:szCs w:val="28"/>
        </w:rPr>
      </w:pPr>
    </w:p>
    <w:p w:rsidR="009C652B" w:rsidRPr="006552F4" w:rsidRDefault="009C652B" w:rsidP="00797F34">
      <w:pPr>
        <w:spacing w:line="276" w:lineRule="auto"/>
        <w:ind w:firstLine="567"/>
        <w:jc w:val="both"/>
        <w:rPr>
          <w:sz w:val="28"/>
          <w:szCs w:val="28"/>
          <w:highlight w:val="red"/>
        </w:rPr>
      </w:pPr>
    </w:p>
    <w:p w:rsidR="006552F4" w:rsidRPr="006552F4" w:rsidRDefault="006552F4" w:rsidP="00797F3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552F4">
        <w:rPr>
          <w:b/>
          <w:sz w:val="28"/>
          <w:szCs w:val="28"/>
        </w:rPr>
        <w:t>Требования к оформлению рукописи</w:t>
      </w:r>
    </w:p>
    <w:p w:rsidR="006552F4" w:rsidRDefault="006552F4" w:rsidP="00797F34">
      <w:pPr>
        <w:spacing w:line="276" w:lineRule="auto"/>
        <w:ind w:firstLine="567"/>
        <w:jc w:val="both"/>
        <w:rPr>
          <w:sz w:val="28"/>
          <w:szCs w:val="28"/>
        </w:rPr>
      </w:pPr>
      <w:r w:rsidRPr="006552F4">
        <w:rPr>
          <w:sz w:val="28"/>
          <w:szCs w:val="28"/>
        </w:rPr>
        <w:t>Текст статьи представляется в электронном виде (наз</w:t>
      </w:r>
      <w:r w:rsidR="009C652B">
        <w:rPr>
          <w:sz w:val="28"/>
          <w:szCs w:val="28"/>
        </w:rPr>
        <w:t xml:space="preserve">вание файла – фамилия </w:t>
      </w:r>
      <w:r w:rsidRPr="006552F4">
        <w:rPr>
          <w:sz w:val="28"/>
          <w:szCs w:val="28"/>
        </w:rPr>
        <w:t>автора</w:t>
      </w:r>
      <w:r w:rsidR="009C652B">
        <w:rPr>
          <w:sz w:val="28"/>
          <w:szCs w:val="28"/>
        </w:rPr>
        <w:t>, краткое название статьи</w:t>
      </w:r>
      <w:r w:rsidRPr="006552F4">
        <w:rPr>
          <w:sz w:val="28"/>
          <w:szCs w:val="28"/>
        </w:rPr>
        <w:t xml:space="preserve">). Объём в печатном виде – до 20 тыс. </w:t>
      </w:r>
      <w:r w:rsidR="009C652B">
        <w:rPr>
          <w:sz w:val="28"/>
          <w:szCs w:val="28"/>
        </w:rPr>
        <w:t>знаков (с пробелами), формат А4 (</w:t>
      </w:r>
      <w:r w:rsidR="00763951">
        <w:rPr>
          <w:sz w:val="28"/>
          <w:szCs w:val="28"/>
        </w:rPr>
        <w:t xml:space="preserve">не более </w:t>
      </w:r>
      <w:r w:rsidR="009C652B">
        <w:rPr>
          <w:sz w:val="28"/>
          <w:szCs w:val="28"/>
        </w:rPr>
        <w:t>10</w:t>
      </w:r>
      <w:r w:rsidR="006831B7">
        <w:rPr>
          <w:sz w:val="28"/>
          <w:szCs w:val="28"/>
        </w:rPr>
        <w:t>–</w:t>
      </w:r>
      <w:r w:rsidR="009C652B">
        <w:rPr>
          <w:sz w:val="28"/>
          <w:szCs w:val="28"/>
        </w:rPr>
        <w:t>12 стр.).</w:t>
      </w:r>
      <w:r w:rsidRPr="006552F4">
        <w:rPr>
          <w:sz w:val="28"/>
          <w:szCs w:val="28"/>
        </w:rPr>
        <w:t xml:space="preserve"> Шрифт </w:t>
      </w:r>
      <w:r w:rsidRPr="006552F4">
        <w:rPr>
          <w:sz w:val="28"/>
          <w:szCs w:val="28"/>
          <w:lang w:val="en-US"/>
        </w:rPr>
        <w:t>Times</w:t>
      </w:r>
      <w:r w:rsidRPr="006552F4">
        <w:rPr>
          <w:sz w:val="28"/>
          <w:szCs w:val="28"/>
        </w:rPr>
        <w:t xml:space="preserve"> </w:t>
      </w:r>
      <w:r w:rsidRPr="006552F4">
        <w:rPr>
          <w:sz w:val="28"/>
          <w:szCs w:val="28"/>
          <w:lang w:val="en-US"/>
        </w:rPr>
        <w:t>New</w:t>
      </w:r>
      <w:r w:rsidRPr="006552F4">
        <w:rPr>
          <w:sz w:val="28"/>
          <w:szCs w:val="28"/>
        </w:rPr>
        <w:t xml:space="preserve"> </w:t>
      </w:r>
      <w:r w:rsidRPr="006552F4">
        <w:rPr>
          <w:sz w:val="28"/>
          <w:szCs w:val="28"/>
          <w:lang w:val="en-US"/>
        </w:rPr>
        <w:t>Roman</w:t>
      </w:r>
      <w:r w:rsidRPr="006552F4">
        <w:rPr>
          <w:sz w:val="28"/>
          <w:szCs w:val="28"/>
        </w:rPr>
        <w:t>. Размер шрифта 14. Междустрочный интервал 1,5. Отступ первой строки 1,25 см. Книжная ориентация поля соответствует стандартам редактора (</w:t>
      </w:r>
      <w:r w:rsidR="00A43BEE">
        <w:rPr>
          <w:sz w:val="28"/>
          <w:szCs w:val="28"/>
        </w:rPr>
        <w:t>все поля по 2</w:t>
      </w:r>
      <w:r w:rsidR="00403B02">
        <w:rPr>
          <w:sz w:val="28"/>
          <w:szCs w:val="28"/>
        </w:rPr>
        <w:t xml:space="preserve"> см)</w:t>
      </w:r>
      <w:r w:rsidRPr="006552F4">
        <w:rPr>
          <w:sz w:val="28"/>
          <w:szCs w:val="28"/>
        </w:rPr>
        <w:t xml:space="preserve">. Нумерация страниц – внизу страницы, по центру. </w:t>
      </w:r>
      <w:r w:rsidR="00403B02" w:rsidRPr="00403B02">
        <w:rPr>
          <w:sz w:val="28"/>
          <w:szCs w:val="28"/>
        </w:rPr>
        <w:t>Используются концевые сноски</w:t>
      </w:r>
      <w:r w:rsidR="00403B02">
        <w:rPr>
          <w:sz w:val="28"/>
          <w:szCs w:val="28"/>
        </w:rPr>
        <w:t>. Оформление научной литературы</w:t>
      </w:r>
      <w:r w:rsidRPr="006552F4">
        <w:rPr>
          <w:sz w:val="28"/>
          <w:szCs w:val="28"/>
        </w:rPr>
        <w:t xml:space="preserve"> в соответствии с ГОСТ 7.1.-2003 «Библиографическая запись. Библиографическое описание».</w:t>
      </w:r>
    </w:p>
    <w:p w:rsidR="006552F4" w:rsidRDefault="006552F4" w:rsidP="00797F34">
      <w:pPr>
        <w:spacing w:line="276" w:lineRule="auto"/>
        <w:ind w:firstLine="567"/>
        <w:jc w:val="both"/>
        <w:rPr>
          <w:sz w:val="28"/>
          <w:szCs w:val="28"/>
        </w:rPr>
      </w:pPr>
    </w:p>
    <w:p w:rsidR="006552F4" w:rsidRDefault="006552F4" w:rsidP="00797F34">
      <w:pPr>
        <w:spacing w:line="276" w:lineRule="auto"/>
        <w:ind w:firstLine="567"/>
        <w:jc w:val="both"/>
        <w:rPr>
          <w:sz w:val="28"/>
          <w:szCs w:val="28"/>
        </w:rPr>
      </w:pPr>
    </w:p>
    <w:p w:rsidR="006552F4" w:rsidRPr="006552F4" w:rsidRDefault="006552F4" w:rsidP="006552F4">
      <w:pPr>
        <w:ind w:firstLine="567"/>
        <w:jc w:val="center"/>
        <w:rPr>
          <w:b/>
          <w:sz w:val="28"/>
          <w:szCs w:val="28"/>
        </w:rPr>
      </w:pPr>
      <w:r w:rsidRPr="006552F4">
        <w:rPr>
          <w:b/>
          <w:sz w:val="28"/>
          <w:szCs w:val="28"/>
        </w:rPr>
        <w:t>ЗАЯВКА</w:t>
      </w:r>
    </w:p>
    <w:p w:rsidR="006552F4" w:rsidRPr="006552F4" w:rsidRDefault="006552F4" w:rsidP="006552F4">
      <w:pPr>
        <w:ind w:firstLine="567"/>
        <w:jc w:val="center"/>
        <w:rPr>
          <w:sz w:val="28"/>
          <w:szCs w:val="28"/>
        </w:rPr>
      </w:pPr>
      <w:r w:rsidRPr="006552F4">
        <w:rPr>
          <w:sz w:val="28"/>
          <w:szCs w:val="28"/>
        </w:rPr>
        <w:t>на участие в конференции</w:t>
      </w:r>
      <w:r w:rsidR="00A43BEE">
        <w:rPr>
          <w:sz w:val="28"/>
          <w:szCs w:val="28"/>
        </w:rPr>
        <w:t xml:space="preserve"> «</w:t>
      </w:r>
      <w:r w:rsidR="000A26D9" w:rsidRPr="000A26D9">
        <w:rPr>
          <w:sz w:val="28"/>
          <w:szCs w:val="28"/>
        </w:rPr>
        <w:t>XXVII</w:t>
      </w:r>
      <w:r w:rsidR="00302ACD" w:rsidRPr="00302ACD">
        <w:rPr>
          <w:sz w:val="28"/>
          <w:szCs w:val="28"/>
        </w:rPr>
        <w:t>I</w:t>
      </w:r>
      <w:r w:rsidR="000A26D9" w:rsidRPr="000A26D9">
        <w:rPr>
          <w:sz w:val="28"/>
          <w:szCs w:val="28"/>
        </w:rPr>
        <w:t xml:space="preserve"> </w:t>
      </w:r>
      <w:r w:rsidR="00A43BEE">
        <w:rPr>
          <w:sz w:val="28"/>
          <w:szCs w:val="28"/>
        </w:rPr>
        <w:t>Краеведческие чтения</w:t>
      </w:r>
      <w:r w:rsidR="00A43BEE" w:rsidRPr="00A43BEE">
        <w:rPr>
          <w:sz w:val="28"/>
          <w:szCs w:val="28"/>
        </w:rPr>
        <w:t>»</w:t>
      </w:r>
    </w:p>
    <w:p w:rsidR="006552F4" w:rsidRPr="006552F4" w:rsidRDefault="006552F4" w:rsidP="006552F4">
      <w:pPr>
        <w:jc w:val="center"/>
        <w:rPr>
          <w:sz w:val="28"/>
          <w:szCs w:val="28"/>
        </w:rPr>
      </w:pPr>
    </w:p>
    <w:p w:rsidR="006552F4" w:rsidRDefault="006552F4" w:rsidP="006552F4">
      <w:pPr>
        <w:jc w:val="center"/>
        <w:rPr>
          <w:sz w:val="28"/>
          <w:szCs w:val="28"/>
        </w:rPr>
      </w:pPr>
      <w:r w:rsidRPr="006552F4">
        <w:rPr>
          <w:sz w:val="28"/>
          <w:szCs w:val="28"/>
        </w:rPr>
        <w:t xml:space="preserve">Срок представления – </w:t>
      </w:r>
      <w:r w:rsidRPr="006552F4">
        <w:rPr>
          <w:b/>
          <w:sz w:val="28"/>
          <w:szCs w:val="28"/>
          <w:u w:val="single"/>
        </w:rPr>
        <w:t xml:space="preserve">до </w:t>
      </w:r>
      <w:r w:rsidR="00302ACD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ноября</w:t>
      </w:r>
      <w:r w:rsidR="00302ACD">
        <w:rPr>
          <w:b/>
          <w:sz w:val="28"/>
          <w:szCs w:val="28"/>
          <w:u w:val="single"/>
        </w:rPr>
        <w:t xml:space="preserve"> 2021</w:t>
      </w:r>
      <w:r w:rsidRPr="006552F4">
        <w:rPr>
          <w:b/>
          <w:sz w:val="28"/>
          <w:szCs w:val="28"/>
          <w:u w:val="single"/>
        </w:rPr>
        <w:t xml:space="preserve"> г.</w:t>
      </w:r>
      <w:r w:rsidRPr="006552F4">
        <w:rPr>
          <w:sz w:val="28"/>
          <w:szCs w:val="28"/>
        </w:rPr>
        <w:t xml:space="preserve"> </w:t>
      </w:r>
    </w:p>
    <w:p w:rsidR="00302ACD" w:rsidRPr="006552F4" w:rsidRDefault="00302ACD" w:rsidP="006552F4">
      <w:pPr>
        <w:jc w:val="center"/>
        <w:rPr>
          <w:sz w:val="28"/>
          <w:szCs w:val="28"/>
        </w:rPr>
      </w:pPr>
    </w:p>
    <w:p w:rsidR="00187F3F" w:rsidRDefault="00184CF5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Ф.И.О. (автора</w:t>
      </w:r>
      <w:r w:rsidR="006552F4" w:rsidRPr="00187F3F">
        <w:rPr>
          <w:sz w:val="28"/>
          <w:szCs w:val="28"/>
        </w:rPr>
        <w:t xml:space="preserve"> полностью)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Страна, город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Название организации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Должность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Ученая степень, ученое звание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Почтовый адрес (с указанием индекса)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Телефон, факс (с указанием кода города)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Электронный адрес (Е-mail)</w:t>
      </w:r>
    </w:p>
    <w:p w:rsid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Тема доклада</w:t>
      </w:r>
    </w:p>
    <w:p w:rsidR="006552F4" w:rsidRPr="00187F3F" w:rsidRDefault="006552F4" w:rsidP="00187F3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87F3F">
        <w:rPr>
          <w:sz w:val="28"/>
          <w:szCs w:val="28"/>
        </w:rPr>
        <w:t>Технические средства, необходимые для доклада</w:t>
      </w:r>
      <w:r w:rsidR="00187F3F">
        <w:rPr>
          <w:sz w:val="28"/>
          <w:szCs w:val="28"/>
        </w:rPr>
        <w:t xml:space="preserve"> (если конференция проводится в обычном формате)</w:t>
      </w:r>
    </w:p>
    <w:p w:rsidR="006552F4" w:rsidRDefault="006552F4" w:rsidP="006552F4">
      <w:pPr>
        <w:rPr>
          <w:sz w:val="28"/>
          <w:szCs w:val="28"/>
        </w:rPr>
      </w:pPr>
    </w:p>
    <w:p w:rsidR="00882260" w:rsidRDefault="00882260" w:rsidP="006552F4">
      <w:pPr>
        <w:rPr>
          <w:sz w:val="28"/>
          <w:szCs w:val="28"/>
        </w:rPr>
      </w:pPr>
    </w:p>
    <w:p w:rsidR="00A82C3C" w:rsidRDefault="00A82C3C" w:rsidP="006552F4">
      <w:pPr>
        <w:rPr>
          <w:sz w:val="28"/>
          <w:szCs w:val="28"/>
        </w:rPr>
      </w:pPr>
    </w:p>
    <w:p w:rsidR="00882260" w:rsidRDefault="00882260" w:rsidP="006552F4">
      <w:pPr>
        <w:rPr>
          <w:sz w:val="28"/>
          <w:szCs w:val="28"/>
        </w:rPr>
      </w:pPr>
    </w:p>
    <w:p w:rsidR="006552F4" w:rsidRPr="006552F4" w:rsidRDefault="006552F4" w:rsidP="006552F4">
      <w:pPr>
        <w:jc w:val="center"/>
        <w:rPr>
          <w:sz w:val="28"/>
          <w:szCs w:val="28"/>
        </w:rPr>
      </w:pPr>
      <w:r w:rsidRPr="006552F4">
        <w:rPr>
          <w:sz w:val="28"/>
          <w:szCs w:val="28"/>
        </w:rPr>
        <w:t>ОБРАЗЕЦ ОФОРМЛЕНИЯ РУКОПИСИ</w:t>
      </w:r>
    </w:p>
    <w:p w:rsidR="006552F4" w:rsidRPr="006552F4" w:rsidRDefault="006552F4" w:rsidP="006552F4">
      <w:pPr>
        <w:jc w:val="both"/>
        <w:rPr>
          <w:sz w:val="28"/>
          <w:szCs w:val="28"/>
        </w:rPr>
      </w:pPr>
    </w:p>
    <w:p w:rsidR="006552F4" w:rsidRPr="00A02FDF" w:rsidRDefault="00A02FDF" w:rsidP="002336A8">
      <w:pPr>
        <w:spacing w:line="360" w:lineRule="auto"/>
        <w:jc w:val="right"/>
        <w:rPr>
          <w:i/>
          <w:sz w:val="28"/>
          <w:szCs w:val="28"/>
        </w:rPr>
      </w:pPr>
      <w:r w:rsidRPr="00A02FDF">
        <w:rPr>
          <w:i/>
          <w:sz w:val="28"/>
          <w:szCs w:val="28"/>
        </w:rPr>
        <w:t>И.</w:t>
      </w:r>
      <w:r w:rsidR="00882260">
        <w:rPr>
          <w:i/>
          <w:sz w:val="28"/>
          <w:szCs w:val="28"/>
        </w:rPr>
        <w:t xml:space="preserve"> </w:t>
      </w:r>
      <w:r w:rsidRPr="00A02FDF">
        <w:rPr>
          <w:i/>
          <w:sz w:val="28"/>
          <w:szCs w:val="28"/>
        </w:rPr>
        <w:t>И. Иванов,</w:t>
      </w:r>
    </w:p>
    <w:p w:rsidR="00A02FDF" w:rsidRDefault="00A02FDF" w:rsidP="002336A8">
      <w:pPr>
        <w:spacing w:line="360" w:lineRule="auto"/>
        <w:jc w:val="right"/>
        <w:rPr>
          <w:i/>
          <w:sz w:val="28"/>
          <w:szCs w:val="28"/>
        </w:rPr>
      </w:pPr>
      <w:r w:rsidRPr="00A02FDF">
        <w:rPr>
          <w:i/>
          <w:sz w:val="28"/>
          <w:szCs w:val="28"/>
        </w:rPr>
        <w:t>научный сотрудник МРОКМ им. И.</w:t>
      </w:r>
      <w:r w:rsidR="00882260">
        <w:rPr>
          <w:i/>
          <w:sz w:val="28"/>
          <w:szCs w:val="28"/>
        </w:rPr>
        <w:t xml:space="preserve"> </w:t>
      </w:r>
      <w:r w:rsidRPr="00A02FDF">
        <w:rPr>
          <w:i/>
          <w:sz w:val="28"/>
          <w:szCs w:val="28"/>
        </w:rPr>
        <w:t>Д. Воронина</w:t>
      </w:r>
    </w:p>
    <w:p w:rsidR="00A02FDF" w:rsidRPr="006552F4" w:rsidRDefault="00A02FDF" w:rsidP="002336A8">
      <w:pPr>
        <w:spacing w:line="360" w:lineRule="auto"/>
        <w:jc w:val="right"/>
        <w:rPr>
          <w:sz w:val="28"/>
          <w:szCs w:val="28"/>
        </w:rPr>
      </w:pPr>
    </w:p>
    <w:p w:rsidR="007125D8" w:rsidRDefault="0039190F" w:rsidP="002336A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Подьячие </w:t>
      </w:r>
      <w:r w:rsidR="002336A8">
        <w:rPr>
          <w:b/>
          <w:sz w:val="32"/>
          <w:szCs w:val="32"/>
        </w:rPr>
        <w:t>Саранского уезда конца</w:t>
      </w:r>
      <w:r w:rsidR="00882260">
        <w:rPr>
          <w:b/>
          <w:sz w:val="32"/>
          <w:szCs w:val="32"/>
        </w:rPr>
        <w:t xml:space="preserve"> </w:t>
      </w:r>
      <w:r w:rsidR="00882260">
        <w:rPr>
          <w:b/>
          <w:sz w:val="32"/>
          <w:szCs w:val="32"/>
          <w:lang w:val="en-US"/>
        </w:rPr>
        <w:t>XVII</w:t>
      </w:r>
      <w:r w:rsidR="00882260">
        <w:rPr>
          <w:b/>
          <w:sz w:val="32"/>
          <w:szCs w:val="32"/>
        </w:rPr>
        <w:t xml:space="preserve"> в.</w:t>
      </w:r>
    </w:p>
    <w:p w:rsidR="00882260" w:rsidRPr="006552F4" w:rsidRDefault="00882260" w:rsidP="002336A8">
      <w:pPr>
        <w:spacing w:line="360" w:lineRule="auto"/>
        <w:jc w:val="center"/>
        <w:rPr>
          <w:b/>
          <w:sz w:val="32"/>
          <w:szCs w:val="32"/>
        </w:rPr>
      </w:pPr>
    </w:p>
    <w:p w:rsidR="00882260" w:rsidRDefault="0039190F" w:rsidP="002336A8">
      <w:pPr>
        <w:spacing w:line="360" w:lineRule="auto"/>
        <w:ind w:firstLine="708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В Московском царстве существовало и значительное число простых чиновников-подьячих. «Подьячий – лицо, занимающееся составлением частных актов, челобитных, перепиской бумаг; с XVI в. на Руси – низший чин приказной администрации, выполняющий под руководством дьяков основную делопроизводственную работу в цен</w:t>
      </w:r>
      <w:r>
        <w:rPr>
          <w:sz w:val="28"/>
          <w:szCs w:val="28"/>
        </w:rPr>
        <w:t>тральных и местных учреждениях»</w:t>
      </w:r>
      <w:r w:rsidRPr="0039190F">
        <w:rPr>
          <w:sz w:val="28"/>
          <w:szCs w:val="28"/>
          <w:vertAlign w:val="superscript"/>
        </w:rPr>
        <w:t>1</w:t>
      </w:r>
      <w:r w:rsidR="00DD6742">
        <w:rPr>
          <w:sz w:val="28"/>
          <w:szCs w:val="28"/>
        </w:rPr>
        <w:t>. В статьях</w:t>
      </w:r>
      <w:r w:rsidRPr="0039190F">
        <w:rPr>
          <w:sz w:val="28"/>
          <w:szCs w:val="28"/>
        </w:rPr>
        <w:t xml:space="preserve"> 11–12 главы Х Соборного уложения 1649 г. так очерчивается круг обязанностей и ответственности подьячих: «А судные дела в приказех записывать подьячим, а черненыя бы и межь строк приписки и скребления в тех записках не было</w:t>
      </w:r>
      <w:r>
        <w:rPr>
          <w:sz w:val="28"/>
          <w:szCs w:val="28"/>
        </w:rPr>
        <w:t>…»</w:t>
      </w:r>
      <w:r w:rsidRPr="0039190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39190F" w:rsidRDefault="0039190F" w:rsidP="002336A8">
      <w:pPr>
        <w:spacing w:line="360" w:lineRule="auto"/>
        <w:ind w:firstLine="708"/>
        <w:jc w:val="both"/>
        <w:rPr>
          <w:sz w:val="28"/>
          <w:szCs w:val="28"/>
        </w:rPr>
      </w:pPr>
      <w:r w:rsidRPr="0039190F">
        <w:rPr>
          <w:sz w:val="28"/>
          <w:szCs w:val="28"/>
        </w:rPr>
        <w:t xml:space="preserve">К концу XVII в. в Саранске насчитывалось около 60 подьяческих дворов. За первые 60 лет жизни города образовывались целые династии канцелярских служащих: </w:t>
      </w:r>
      <w:r>
        <w:rPr>
          <w:sz w:val="28"/>
          <w:szCs w:val="28"/>
        </w:rPr>
        <w:t>«</w:t>
      </w:r>
      <w:r w:rsidRPr="0039190F">
        <w:rPr>
          <w:sz w:val="28"/>
          <w:szCs w:val="28"/>
        </w:rPr>
        <w:t>Полянских насчитывалось 4 двора, Метальниковых, Замят</w:t>
      </w:r>
      <w:r w:rsidR="002336A8">
        <w:rPr>
          <w:sz w:val="28"/>
          <w:szCs w:val="28"/>
        </w:rPr>
        <w:t>н</w:t>
      </w:r>
      <w:r w:rsidRPr="0039190F">
        <w:rPr>
          <w:sz w:val="28"/>
          <w:szCs w:val="28"/>
        </w:rPr>
        <w:t>иных, Смирновых, Комлевых – по 5 дворов</w:t>
      </w:r>
      <w:r w:rsidR="00D519BA">
        <w:rPr>
          <w:sz w:val="28"/>
          <w:szCs w:val="28"/>
        </w:rPr>
        <w:t>»</w:t>
      </w:r>
      <w:r w:rsidR="00D519BA" w:rsidRPr="00D519BA">
        <w:rPr>
          <w:sz w:val="28"/>
          <w:szCs w:val="28"/>
          <w:vertAlign w:val="superscript"/>
        </w:rPr>
        <w:t>3</w:t>
      </w:r>
      <w:r w:rsidRPr="0039190F">
        <w:rPr>
          <w:sz w:val="28"/>
          <w:szCs w:val="28"/>
        </w:rPr>
        <w:t>. Родоначальники почти всех данных династий начинали саранскими площадными подьячими или подьячими Саранской приказной избы</w:t>
      </w:r>
      <w:r w:rsidR="00073842">
        <w:rPr>
          <w:sz w:val="28"/>
          <w:szCs w:val="28"/>
        </w:rPr>
        <w:t>…</w:t>
      </w:r>
    </w:p>
    <w:p w:rsidR="00D519BA" w:rsidRPr="006552F4" w:rsidRDefault="00D519BA" w:rsidP="002336A8">
      <w:pPr>
        <w:spacing w:line="360" w:lineRule="auto"/>
        <w:ind w:firstLine="708"/>
        <w:jc w:val="both"/>
        <w:rPr>
          <w:sz w:val="28"/>
          <w:szCs w:val="28"/>
        </w:rPr>
      </w:pPr>
    </w:p>
    <w:p w:rsidR="006552F4" w:rsidRDefault="00A02FDF" w:rsidP="002336A8">
      <w:pPr>
        <w:spacing w:line="360" w:lineRule="auto"/>
        <w:jc w:val="center"/>
        <w:rPr>
          <w:b/>
          <w:i/>
          <w:sz w:val="28"/>
          <w:szCs w:val="28"/>
        </w:rPr>
      </w:pPr>
      <w:r w:rsidRPr="00A02FDF">
        <w:rPr>
          <w:b/>
          <w:i/>
          <w:sz w:val="28"/>
          <w:szCs w:val="28"/>
        </w:rPr>
        <w:t>Примечания</w:t>
      </w:r>
    </w:p>
    <w:p w:rsidR="00763951" w:rsidRPr="006552F4" w:rsidRDefault="00763951" w:rsidP="002336A8">
      <w:pPr>
        <w:spacing w:line="360" w:lineRule="auto"/>
        <w:jc w:val="center"/>
        <w:rPr>
          <w:sz w:val="28"/>
          <w:szCs w:val="28"/>
        </w:rPr>
      </w:pPr>
    </w:p>
    <w:p w:rsidR="0039190F" w:rsidRPr="0039190F" w:rsidRDefault="0039190F" w:rsidP="002336A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Словарь русского языка XI – XVII вв. М., 1990. Т. 16. С. 87.</w:t>
      </w:r>
    </w:p>
    <w:p w:rsidR="009C652B" w:rsidRDefault="0039190F" w:rsidP="002336A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Соборное уложение 1649 года. Л., 1987. С. 32.</w:t>
      </w:r>
    </w:p>
    <w:p w:rsidR="0039190F" w:rsidRPr="0039190F" w:rsidRDefault="0039190F" w:rsidP="002336A8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История Мордовии с древнейших времен до середины XIX века / под ред. Н. М. Арсентьева, В. А. Юрченкова. Саранск, 2001. С.</w:t>
      </w:r>
      <w:r w:rsidR="00D519BA">
        <w:rPr>
          <w:sz w:val="28"/>
          <w:szCs w:val="28"/>
        </w:rPr>
        <w:t xml:space="preserve"> 149.</w:t>
      </w:r>
      <w:r>
        <w:rPr>
          <w:sz w:val="28"/>
          <w:szCs w:val="28"/>
        </w:rPr>
        <w:t xml:space="preserve"> </w:t>
      </w:r>
    </w:p>
    <w:sectPr w:rsidR="0039190F" w:rsidRPr="0039190F" w:rsidSect="00542578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1A" w:rsidRDefault="00EA3F1A" w:rsidP="00B956DB">
      <w:r>
        <w:separator/>
      </w:r>
    </w:p>
  </w:endnote>
  <w:endnote w:type="continuationSeparator" w:id="0">
    <w:p w:rsidR="00EA3F1A" w:rsidRDefault="00EA3F1A" w:rsidP="00B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1A" w:rsidRDefault="00EA3F1A" w:rsidP="00B956DB">
      <w:r>
        <w:separator/>
      </w:r>
    </w:p>
  </w:footnote>
  <w:footnote w:type="continuationSeparator" w:id="0">
    <w:p w:rsidR="00EA3F1A" w:rsidRDefault="00EA3F1A" w:rsidP="00B9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663E"/>
    <w:multiLevelType w:val="singleLevel"/>
    <w:tmpl w:val="36E68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1947BF8"/>
    <w:multiLevelType w:val="hybridMultilevel"/>
    <w:tmpl w:val="E72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087D"/>
    <w:multiLevelType w:val="hybridMultilevel"/>
    <w:tmpl w:val="DC16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DB"/>
    <w:rsid w:val="00033A9C"/>
    <w:rsid w:val="00045C3D"/>
    <w:rsid w:val="00051B47"/>
    <w:rsid w:val="0007044B"/>
    <w:rsid w:val="00073842"/>
    <w:rsid w:val="00097BE4"/>
    <w:rsid w:val="000A26D9"/>
    <w:rsid w:val="00184CF5"/>
    <w:rsid w:val="00187F3F"/>
    <w:rsid w:val="002336A8"/>
    <w:rsid w:val="00276EF6"/>
    <w:rsid w:val="00283A99"/>
    <w:rsid w:val="002D3F56"/>
    <w:rsid w:val="00302ACD"/>
    <w:rsid w:val="00375FBF"/>
    <w:rsid w:val="0039190F"/>
    <w:rsid w:val="0039747F"/>
    <w:rsid w:val="00403B02"/>
    <w:rsid w:val="004247B2"/>
    <w:rsid w:val="00530A59"/>
    <w:rsid w:val="00586B95"/>
    <w:rsid w:val="006552F4"/>
    <w:rsid w:val="006831B7"/>
    <w:rsid w:val="006A40E9"/>
    <w:rsid w:val="007125D8"/>
    <w:rsid w:val="00727E0A"/>
    <w:rsid w:val="00763951"/>
    <w:rsid w:val="00797F34"/>
    <w:rsid w:val="00806D04"/>
    <w:rsid w:val="008240A4"/>
    <w:rsid w:val="008277D4"/>
    <w:rsid w:val="00832A7B"/>
    <w:rsid w:val="00856BB7"/>
    <w:rsid w:val="00882260"/>
    <w:rsid w:val="008A4511"/>
    <w:rsid w:val="008C3BC0"/>
    <w:rsid w:val="008C5154"/>
    <w:rsid w:val="008D7D5E"/>
    <w:rsid w:val="00992F53"/>
    <w:rsid w:val="009C652B"/>
    <w:rsid w:val="00A02FDF"/>
    <w:rsid w:val="00A43BEE"/>
    <w:rsid w:val="00A44D14"/>
    <w:rsid w:val="00A82C3C"/>
    <w:rsid w:val="00AE3C62"/>
    <w:rsid w:val="00AF37D1"/>
    <w:rsid w:val="00AF6B55"/>
    <w:rsid w:val="00B22BE6"/>
    <w:rsid w:val="00B956DB"/>
    <w:rsid w:val="00C22596"/>
    <w:rsid w:val="00C91BB4"/>
    <w:rsid w:val="00D012B7"/>
    <w:rsid w:val="00D476B4"/>
    <w:rsid w:val="00D519BA"/>
    <w:rsid w:val="00D64139"/>
    <w:rsid w:val="00DC60A6"/>
    <w:rsid w:val="00DD6742"/>
    <w:rsid w:val="00E4182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4B9E-4996-4B18-9944-F92ED8A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6DB"/>
    <w:rPr>
      <w:color w:val="0000FF"/>
      <w:u w:val="single"/>
    </w:rPr>
  </w:style>
  <w:style w:type="paragraph" w:customStyle="1" w:styleId="1">
    <w:name w:val="Без интервала1"/>
    <w:rsid w:val="00B956D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956DB"/>
  </w:style>
  <w:style w:type="character" w:customStyle="1" w:styleId="a5">
    <w:name w:val="Текст сноски Знак"/>
    <w:basedOn w:val="a0"/>
    <w:link w:val="a4"/>
    <w:uiPriority w:val="99"/>
    <w:semiHidden/>
    <w:rsid w:val="00B95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956D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1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BB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8455-DA59-44B0-AB9C-217F0C1D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Шапорова</dc:creator>
  <cp:keywords/>
  <dc:description/>
  <cp:lastModifiedBy>Филимонов Андрей</cp:lastModifiedBy>
  <cp:revision>2</cp:revision>
  <cp:lastPrinted>2017-09-13T06:49:00Z</cp:lastPrinted>
  <dcterms:created xsi:type="dcterms:W3CDTF">2021-11-08T08:09:00Z</dcterms:created>
  <dcterms:modified xsi:type="dcterms:W3CDTF">2021-11-08T08:09:00Z</dcterms:modified>
</cp:coreProperties>
</file>